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58" w:rsidRDefault="00BA5878">
      <w:pPr>
        <w:spacing w:before="86"/>
        <w:ind w:left="126"/>
        <w:rPr>
          <w:sz w:val="32"/>
        </w:rPr>
      </w:pPr>
      <w:bookmarkStart w:id="0" w:name="_GoBack"/>
      <w:bookmarkEnd w:id="0"/>
      <w:r>
        <w:rPr>
          <w:sz w:val="32"/>
          <w:lang w:val="en-GB"/>
        </w:rPr>
        <w:t>AWARD CRITERIA</w:t>
      </w:r>
    </w:p>
    <w:p w:rsidR="00A32858" w:rsidRDefault="00BA5878">
      <w:pPr>
        <w:pStyle w:val="BodyText"/>
        <w:spacing w:before="225" w:line="238" w:lineRule="exact"/>
        <w:ind w:left="123"/>
      </w:pPr>
      <w:r>
        <w:rPr>
          <w:lang w:val="en-GB"/>
        </w:rPr>
        <w:t>Reference number: 222866</w:t>
      </w:r>
    </w:p>
    <w:p w:rsidR="00A32858" w:rsidRDefault="00BA5878">
      <w:pPr>
        <w:pStyle w:val="BodyText"/>
        <w:spacing w:line="234" w:lineRule="exact"/>
        <w:ind w:left="123"/>
      </w:pPr>
      <w:r>
        <w:rPr>
          <w:lang w:val="en-GB"/>
        </w:rPr>
        <w:t>Contracting authority: IT and Development Centre. Ministry of the Interior, Estonia (70008440)</w:t>
      </w:r>
    </w:p>
    <w:p w:rsidR="00A32858" w:rsidRDefault="00BA5878">
      <w:pPr>
        <w:pStyle w:val="BodyText"/>
        <w:spacing w:line="391" w:lineRule="auto"/>
        <w:ind w:left="123" w:right="3669"/>
      </w:pPr>
      <w:r>
        <w:rPr>
          <w:lang w:val="en-GB"/>
        </w:rPr>
        <w:t>Procurement: Entry/Exit System face image capture solution in Estonian Border Control Points Tender value is evaluated – Excluding VAT</w:t>
      </w:r>
    </w:p>
    <w:p w:rsidR="00A32858" w:rsidRDefault="00BA5878">
      <w:pPr>
        <w:pStyle w:val="BodyText"/>
        <w:spacing w:before="98"/>
        <w:ind w:left="143"/>
      </w:pPr>
      <w:r>
        <w:rPr>
          <w:lang w:val="en-GB"/>
        </w:rPr>
        <w:t xml:space="preserve">Electronic auction </w:t>
      </w:r>
      <w:proofErr w:type="gramStart"/>
      <w:r>
        <w:rPr>
          <w:lang w:val="en-GB"/>
        </w:rPr>
        <w:t>is used</w:t>
      </w:r>
      <w:proofErr w:type="gramEnd"/>
      <w:r>
        <w:rPr>
          <w:lang w:val="en-GB"/>
        </w:rPr>
        <w:t>: no</w:t>
      </w:r>
    </w:p>
    <w:p w:rsidR="00A32858" w:rsidRDefault="00A32858">
      <w:pPr>
        <w:pStyle w:val="BodyText"/>
        <w:spacing w:before="3"/>
        <w:rPr>
          <w:sz w:val="14"/>
        </w:rPr>
      </w:pPr>
    </w:p>
    <w:tbl>
      <w:tblPr>
        <w:tblStyle w:val="TableNormal1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465"/>
        <w:gridCol w:w="3618"/>
        <w:gridCol w:w="1728"/>
        <w:gridCol w:w="1152"/>
        <w:gridCol w:w="1152"/>
        <w:gridCol w:w="1152"/>
        <w:gridCol w:w="1199"/>
      </w:tblGrid>
      <w:tr w:rsidR="00A32858" w:rsidTr="00BA5878">
        <w:trPr>
          <w:trHeight w:val="524"/>
        </w:trPr>
        <w:tc>
          <w:tcPr>
            <w:tcW w:w="585" w:type="dxa"/>
          </w:tcPr>
          <w:p w:rsidR="00A32858" w:rsidRDefault="00BA5878">
            <w:pPr>
              <w:pStyle w:val="TableParagraph"/>
              <w:spacing w:before="36" w:line="240" w:lineRule="atLeast"/>
              <w:ind w:left="117" w:right="44" w:hanging="79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Item no.</w:t>
            </w:r>
          </w:p>
        </w:tc>
        <w:tc>
          <w:tcPr>
            <w:tcW w:w="3465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Name</w:t>
            </w:r>
          </w:p>
        </w:tc>
        <w:tc>
          <w:tcPr>
            <w:tcW w:w="3618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Description</w:t>
            </w:r>
          </w:p>
        </w:tc>
        <w:tc>
          <w:tcPr>
            <w:tcW w:w="1728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Type / evaluation method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spacing w:before="36"/>
              <w:ind w:left="213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Weight</w:t>
            </w:r>
          </w:p>
        </w:tc>
        <w:tc>
          <w:tcPr>
            <w:tcW w:w="1152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Quantity</w:t>
            </w:r>
          </w:p>
        </w:tc>
        <w:tc>
          <w:tcPr>
            <w:tcW w:w="1152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Unit</w:t>
            </w:r>
          </w:p>
        </w:tc>
        <w:tc>
          <w:tcPr>
            <w:tcW w:w="1199" w:type="dxa"/>
          </w:tcPr>
          <w:p w:rsidR="00A32858" w:rsidRDefault="00BA5878" w:rsidP="00BA5878">
            <w:pPr>
              <w:pStyle w:val="TableParagraph"/>
              <w:jc w:val="center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Filled in by tenderer</w:t>
            </w:r>
          </w:p>
        </w:tc>
      </w:tr>
      <w:tr w:rsidR="00A32858" w:rsidTr="00BA5878">
        <w:trPr>
          <w:trHeight w:val="1680"/>
        </w:trPr>
        <w:tc>
          <w:tcPr>
            <w:tcW w:w="585" w:type="dxa"/>
          </w:tcPr>
          <w:p w:rsidR="00A32858" w:rsidRDefault="00BA5878">
            <w:pPr>
              <w:pStyle w:val="TableParagraph"/>
              <w:ind w:left="27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1</w:t>
            </w:r>
          </w:p>
        </w:tc>
        <w:tc>
          <w:tcPr>
            <w:tcW w:w="3465" w:type="dxa"/>
          </w:tcPr>
          <w:p w:rsidR="00A32858" w:rsidRDefault="00BA5878">
            <w:pPr>
              <w:pStyle w:val="TableParagraph"/>
              <w:rPr>
                <w:sz w:val="21"/>
              </w:rPr>
            </w:pPr>
            <w:r>
              <w:rPr>
                <w:sz w:val="21"/>
                <w:lang w:val="en-GB"/>
              </w:rPr>
              <w:t>Total value of the tender (without value added tax)</w:t>
            </w:r>
          </w:p>
        </w:tc>
        <w:tc>
          <w:tcPr>
            <w:tcW w:w="3618" w:type="dxa"/>
          </w:tcPr>
          <w:p w:rsidR="00A32858" w:rsidRDefault="00BA5878">
            <w:pPr>
              <w:pStyle w:val="TableParagraph"/>
              <w:spacing w:before="34" w:line="232" w:lineRule="auto"/>
              <w:ind w:right="57"/>
              <w:jc w:val="both"/>
              <w:rPr>
                <w:sz w:val="21"/>
              </w:rPr>
            </w:pPr>
            <w:r>
              <w:rPr>
                <w:sz w:val="21"/>
                <w:lang w:val="en-GB"/>
              </w:rPr>
              <w:t>The total value of the tender comprises the price of one camera on a stand with licences and three-year product support.</w:t>
            </w:r>
          </w:p>
          <w:p w:rsidR="00A32858" w:rsidRDefault="00BA5878">
            <w:pPr>
              <w:pStyle w:val="TableParagraph"/>
              <w:spacing w:before="3" w:line="234" w:lineRule="exact"/>
              <w:ind w:right="57"/>
              <w:jc w:val="both"/>
              <w:rPr>
                <w:sz w:val="21"/>
              </w:rPr>
            </w:pPr>
            <w:r>
              <w:rPr>
                <w:sz w:val="21"/>
                <w:lang w:val="en-GB"/>
              </w:rPr>
              <w:t>The total value set out in the tender must include in full the values of the services and rights indicated in the technical specifications of the tender.</w:t>
            </w:r>
          </w:p>
        </w:tc>
        <w:tc>
          <w:tcPr>
            <w:tcW w:w="1728" w:type="dxa"/>
          </w:tcPr>
          <w:p w:rsidR="00A32858" w:rsidRDefault="00BA5878">
            <w:pPr>
              <w:pStyle w:val="TableParagraph"/>
              <w:spacing w:before="34" w:line="232" w:lineRule="auto"/>
              <w:ind w:left="204" w:right="159" w:firstLine="116"/>
              <w:rPr>
                <w:sz w:val="21"/>
              </w:rPr>
            </w:pPr>
            <w:r>
              <w:rPr>
                <w:sz w:val="21"/>
                <w:lang w:val="en-GB"/>
              </w:rPr>
              <w:t>Value – the lowest is the best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0" w:right="66"/>
              <w:jc w:val="right"/>
              <w:rPr>
                <w:sz w:val="21"/>
              </w:rPr>
            </w:pPr>
            <w:r>
              <w:rPr>
                <w:sz w:val="21"/>
                <w:lang w:val="en-GB"/>
              </w:rPr>
              <w:t>100</w:t>
            </w:r>
          </w:p>
        </w:tc>
        <w:tc>
          <w:tcPr>
            <w:tcW w:w="1152" w:type="dxa"/>
          </w:tcPr>
          <w:p w:rsidR="00A32858" w:rsidRDefault="00A328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152" w:type="dxa"/>
          </w:tcPr>
          <w:p w:rsidR="00A32858" w:rsidRDefault="00A328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199" w:type="dxa"/>
          </w:tcPr>
          <w:p w:rsidR="00A32858" w:rsidRDefault="00A328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A32858" w:rsidTr="00BA5878">
        <w:trPr>
          <w:trHeight w:val="743"/>
        </w:trPr>
        <w:tc>
          <w:tcPr>
            <w:tcW w:w="585" w:type="dxa"/>
            <w:vMerge w:val="restart"/>
          </w:tcPr>
          <w:p w:rsidR="00A32858" w:rsidRDefault="00A328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3465" w:type="dxa"/>
          </w:tcPr>
          <w:p w:rsidR="00A32858" w:rsidRDefault="00BA5878">
            <w:pPr>
              <w:pStyle w:val="TableParagraph"/>
              <w:spacing w:before="34" w:line="232" w:lineRule="auto"/>
              <w:ind w:right="57"/>
              <w:rPr>
                <w:sz w:val="21"/>
              </w:rPr>
            </w:pPr>
            <w:r>
              <w:rPr>
                <w:sz w:val="21"/>
                <w:lang w:val="en-GB"/>
              </w:rPr>
              <w:t>The value (without value added tax) of 1 (one) camera on a stand</w:t>
            </w:r>
          </w:p>
        </w:tc>
        <w:tc>
          <w:tcPr>
            <w:tcW w:w="6498" w:type="dxa"/>
            <w:gridSpan w:val="3"/>
          </w:tcPr>
          <w:p w:rsidR="00A32858" w:rsidRDefault="00BA5878">
            <w:pPr>
              <w:pStyle w:val="TableParagraph"/>
              <w:spacing w:before="37" w:line="234" w:lineRule="exact"/>
              <w:ind w:right="58"/>
              <w:jc w:val="both"/>
              <w:rPr>
                <w:sz w:val="21"/>
              </w:rPr>
            </w:pPr>
            <w:r>
              <w:rPr>
                <w:sz w:val="21"/>
                <w:lang w:val="en-GB"/>
              </w:rPr>
              <w:t>In accordance with the specification and volume set out in annex 2 to the ITT. This value remains unchanged in the indicated amount throughout the entire term of the framework agreement.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0" w:right="66"/>
              <w:jc w:val="right"/>
              <w:rPr>
                <w:sz w:val="21"/>
              </w:rPr>
            </w:pPr>
            <w:r>
              <w:rPr>
                <w:sz w:val="21"/>
                <w:lang w:val="en-GB"/>
              </w:rPr>
              <w:t>1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321" w:right="296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pc</w:t>
            </w:r>
          </w:p>
        </w:tc>
        <w:tc>
          <w:tcPr>
            <w:tcW w:w="1199" w:type="dxa"/>
          </w:tcPr>
          <w:p w:rsidR="00A32858" w:rsidRDefault="00BA5878">
            <w:pPr>
              <w:pStyle w:val="TableParagraph"/>
              <w:ind w:left="425" w:right="400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yes</w:t>
            </w:r>
          </w:p>
        </w:tc>
      </w:tr>
      <w:tr w:rsidR="00A32858" w:rsidTr="00BA5878">
        <w:trPr>
          <w:trHeight w:val="743"/>
        </w:trPr>
        <w:tc>
          <w:tcPr>
            <w:tcW w:w="585" w:type="dxa"/>
            <w:vMerge/>
            <w:tcBorders>
              <w:top w:val="nil"/>
            </w:tcBorders>
          </w:tcPr>
          <w:p w:rsidR="00A32858" w:rsidRDefault="00A32858">
            <w:pPr>
              <w:rPr>
                <w:sz w:val="2"/>
                <w:szCs w:val="2"/>
              </w:rPr>
            </w:pPr>
          </w:p>
        </w:tc>
        <w:tc>
          <w:tcPr>
            <w:tcW w:w="3465" w:type="dxa"/>
          </w:tcPr>
          <w:p w:rsidR="00A32858" w:rsidRDefault="00BA5878">
            <w:pPr>
              <w:pStyle w:val="TableParagraph"/>
              <w:spacing w:before="34" w:line="232" w:lineRule="auto"/>
              <w:rPr>
                <w:sz w:val="21"/>
              </w:rPr>
            </w:pPr>
            <w:r>
              <w:rPr>
                <w:sz w:val="21"/>
                <w:lang w:val="en-GB"/>
              </w:rPr>
              <w:t>The value (without value added tax) of (a) licence(s) of 1 (one) camera on a stand</w:t>
            </w:r>
          </w:p>
        </w:tc>
        <w:tc>
          <w:tcPr>
            <w:tcW w:w="6498" w:type="dxa"/>
            <w:gridSpan w:val="3"/>
          </w:tcPr>
          <w:p w:rsidR="00A32858" w:rsidRDefault="00BA5878" w:rsidP="00BA5878">
            <w:pPr>
              <w:pStyle w:val="TableParagraph"/>
              <w:spacing w:before="34" w:line="232" w:lineRule="auto"/>
              <w:ind w:right="85"/>
              <w:rPr>
                <w:sz w:val="21"/>
              </w:rPr>
            </w:pPr>
            <w:r>
              <w:rPr>
                <w:sz w:val="21"/>
                <w:lang w:val="en-GB"/>
              </w:rPr>
              <w:t>In accordance with the specification and volume set out in annex 2 to the ITT. This value remains unchanged in the indicated amount throughout the entire term of the framework agreement.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0" w:right="66"/>
              <w:jc w:val="right"/>
              <w:rPr>
                <w:sz w:val="21"/>
              </w:rPr>
            </w:pPr>
            <w:r>
              <w:rPr>
                <w:sz w:val="21"/>
                <w:lang w:val="en-GB"/>
              </w:rPr>
              <w:t>1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321" w:right="296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pc</w:t>
            </w:r>
          </w:p>
        </w:tc>
        <w:tc>
          <w:tcPr>
            <w:tcW w:w="1199" w:type="dxa"/>
          </w:tcPr>
          <w:p w:rsidR="00A32858" w:rsidRDefault="00BA5878">
            <w:pPr>
              <w:pStyle w:val="TableParagraph"/>
              <w:ind w:left="425" w:right="400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yes</w:t>
            </w:r>
          </w:p>
        </w:tc>
      </w:tr>
      <w:tr w:rsidR="00A32858" w:rsidTr="00BA5878">
        <w:trPr>
          <w:trHeight w:val="977"/>
        </w:trPr>
        <w:tc>
          <w:tcPr>
            <w:tcW w:w="585" w:type="dxa"/>
            <w:vMerge/>
            <w:tcBorders>
              <w:top w:val="nil"/>
            </w:tcBorders>
          </w:tcPr>
          <w:p w:rsidR="00A32858" w:rsidRDefault="00A32858">
            <w:pPr>
              <w:rPr>
                <w:sz w:val="2"/>
                <w:szCs w:val="2"/>
              </w:rPr>
            </w:pPr>
          </w:p>
        </w:tc>
        <w:tc>
          <w:tcPr>
            <w:tcW w:w="3465" w:type="dxa"/>
          </w:tcPr>
          <w:p w:rsidR="00A32858" w:rsidRDefault="00BA5878">
            <w:pPr>
              <w:pStyle w:val="TableParagraph"/>
              <w:rPr>
                <w:sz w:val="21"/>
              </w:rPr>
            </w:pPr>
            <w:r>
              <w:rPr>
                <w:sz w:val="21"/>
                <w:lang w:val="en-GB"/>
              </w:rPr>
              <w:t>Value of the product support for three years (without value added tax)</w:t>
            </w:r>
          </w:p>
        </w:tc>
        <w:tc>
          <w:tcPr>
            <w:tcW w:w="6498" w:type="dxa"/>
            <w:gridSpan w:val="3"/>
          </w:tcPr>
          <w:p w:rsidR="00A32858" w:rsidRDefault="00BA5878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sz w:val="21"/>
                <w:lang w:val="en-GB"/>
              </w:rPr>
              <w:t>The tenderer enters the value of the product support for one year (without value added tax)</w:t>
            </w:r>
          </w:p>
          <w:p w:rsidR="00A32858" w:rsidRDefault="00BA5878" w:rsidP="00BA5878">
            <w:pPr>
              <w:pStyle w:val="TableParagraph"/>
              <w:spacing w:before="2" w:line="232" w:lineRule="auto"/>
              <w:ind w:right="85"/>
              <w:rPr>
                <w:sz w:val="21"/>
              </w:rPr>
            </w:pPr>
            <w:r>
              <w:rPr>
                <w:sz w:val="21"/>
                <w:lang w:val="en-GB"/>
              </w:rPr>
              <w:t>In accordance with the specification and volume set out in annex 2 to the ITT. This value remains unchanged in the indicated amount throughout the entire term of the framework agreement.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0" w:right="66"/>
              <w:jc w:val="right"/>
              <w:rPr>
                <w:sz w:val="21"/>
              </w:rPr>
            </w:pPr>
            <w:r>
              <w:rPr>
                <w:sz w:val="21"/>
                <w:lang w:val="en-GB"/>
              </w:rPr>
              <w:t>3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ind w:left="321" w:right="296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years</w:t>
            </w:r>
          </w:p>
        </w:tc>
        <w:tc>
          <w:tcPr>
            <w:tcW w:w="1199" w:type="dxa"/>
          </w:tcPr>
          <w:p w:rsidR="00A32858" w:rsidRDefault="00BA5878">
            <w:pPr>
              <w:pStyle w:val="TableParagraph"/>
              <w:ind w:left="425" w:right="400"/>
              <w:jc w:val="center"/>
              <w:rPr>
                <w:sz w:val="21"/>
              </w:rPr>
            </w:pPr>
            <w:r>
              <w:rPr>
                <w:sz w:val="21"/>
                <w:lang w:val="en-GB"/>
              </w:rPr>
              <w:t>yes</w:t>
            </w:r>
          </w:p>
        </w:tc>
      </w:tr>
      <w:tr w:rsidR="00A32858" w:rsidTr="00BA5878">
        <w:trPr>
          <w:trHeight w:val="301"/>
        </w:trPr>
        <w:tc>
          <w:tcPr>
            <w:tcW w:w="9396" w:type="dxa"/>
            <w:gridSpan w:val="4"/>
          </w:tcPr>
          <w:p w:rsidR="00A32858" w:rsidRDefault="00BA5878">
            <w:pPr>
              <w:pStyle w:val="TableParagraph"/>
              <w:spacing w:before="46" w:line="236" w:lineRule="exact"/>
              <w:ind w:left="0" w:right="74"/>
              <w:jc w:val="right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Total:</w:t>
            </w:r>
          </w:p>
        </w:tc>
        <w:tc>
          <w:tcPr>
            <w:tcW w:w="1152" w:type="dxa"/>
          </w:tcPr>
          <w:p w:rsidR="00A32858" w:rsidRDefault="00BA5878">
            <w:pPr>
              <w:pStyle w:val="TableParagraph"/>
              <w:spacing w:before="46" w:line="236" w:lineRule="exact"/>
              <w:ind w:left="0" w:right="76"/>
              <w:jc w:val="right"/>
              <w:rPr>
                <w:b/>
                <w:sz w:val="21"/>
              </w:rPr>
            </w:pPr>
            <w:r>
              <w:rPr>
                <w:b/>
                <w:bCs/>
                <w:sz w:val="21"/>
                <w:lang w:val="en-GB"/>
              </w:rPr>
              <w:t>100</w:t>
            </w:r>
          </w:p>
        </w:tc>
        <w:tc>
          <w:tcPr>
            <w:tcW w:w="3503" w:type="dxa"/>
            <w:gridSpan w:val="3"/>
          </w:tcPr>
          <w:p w:rsidR="00A32858" w:rsidRDefault="00A32858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</w:tbl>
    <w:p w:rsidR="00A32858" w:rsidRDefault="00A32858">
      <w:pPr>
        <w:pStyle w:val="BodyText"/>
        <w:spacing w:before="9"/>
      </w:pPr>
    </w:p>
    <w:p w:rsidR="00A32858" w:rsidRDefault="00BA5878">
      <w:pPr>
        <w:ind w:left="125"/>
        <w:rPr>
          <w:sz w:val="28"/>
        </w:rPr>
      </w:pPr>
      <w:r>
        <w:rPr>
          <w:sz w:val="28"/>
          <w:lang w:val="en-GB"/>
        </w:rPr>
        <w:t>Description of evaluation methodology</w:t>
      </w:r>
    </w:p>
    <w:p w:rsidR="00A32858" w:rsidRDefault="00BA5878">
      <w:pPr>
        <w:pStyle w:val="BodyText"/>
        <w:spacing w:before="68"/>
        <w:ind w:left="363"/>
      </w:pPr>
      <w:r>
        <w:rPr>
          <w:lang w:val="en-GB"/>
        </w:rPr>
        <w:t>1. Total value of the tender (without value added tax)</w:t>
      </w:r>
    </w:p>
    <w:p w:rsidR="00A32858" w:rsidRDefault="00BA5878">
      <w:pPr>
        <w:spacing w:before="77" w:line="232" w:lineRule="auto"/>
        <w:ind w:left="122" w:right="559"/>
        <w:rPr>
          <w:sz w:val="18"/>
        </w:rPr>
      </w:pPr>
      <w:r>
        <w:rPr>
          <w:sz w:val="18"/>
          <w:lang w:val="en-GB"/>
        </w:rPr>
        <w:t xml:space="preserve">A tender with the lowest value </w:t>
      </w:r>
      <w:proofErr w:type="gramStart"/>
      <w:r>
        <w:rPr>
          <w:sz w:val="18"/>
          <w:lang w:val="en-GB"/>
        </w:rPr>
        <w:t>is assigned</w:t>
      </w:r>
      <w:proofErr w:type="gramEnd"/>
      <w:r>
        <w:rPr>
          <w:sz w:val="18"/>
          <w:lang w:val="en-GB"/>
        </w:rPr>
        <w:t xml:space="preserve"> the maximum number of points. Other tenders are assigned proportionately fewer points, calculated </w:t>
      </w:r>
      <w:proofErr w:type="gramStart"/>
      <w:r>
        <w:rPr>
          <w:sz w:val="18"/>
          <w:lang w:val="en-GB"/>
        </w:rPr>
        <w:t>on the basis of</w:t>
      </w:r>
      <w:proofErr w:type="gramEnd"/>
      <w:r>
        <w:rPr>
          <w:sz w:val="18"/>
          <w:lang w:val="en-GB"/>
        </w:rPr>
        <w:t xml:space="preserve"> the following formula: ‘lowest value’ / ‘tender value’ * ‘weight’.</w:t>
      </w:r>
    </w:p>
    <w:p w:rsidR="00A32858" w:rsidRDefault="00A32858">
      <w:pPr>
        <w:pStyle w:val="BodyText"/>
        <w:spacing w:before="6"/>
        <w:rPr>
          <w:sz w:val="18"/>
        </w:rPr>
      </w:pPr>
    </w:p>
    <w:p w:rsidR="00A32858" w:rsidRDefault="00BA5878">
      <w:pPr>
        <w:pStyle w:val="BodyText"/>
        <w:tabs>
          <w:tab w:val="left" w:pos="6932"/>
          <w:tab w:val="left" w:pos="9488"/>
        </w:tabs>
        <w:spacing w:before="118" w:line="199" w:lineRule="auto"/>
        <w:ind w:left="9489" w:right="559" w:hanging="9336"/>
      </w:pPr>
      <w:r>
        <w:rPr>
          <w:color w:val="A5A5A5"/>
          <w:lang w:val="en-GB"/>
        </w:rPr>
        <w:t>Drawn up on 11.06.2020 at 17:20:31</w:t>
      </w:r>
      <w:r>
        <w:rPr>
          <w:color w:val="A5A5A5"/>
          <w:lang w:val="en-GB"/>
        </w:rPr>
        <w:tab/>
      </w:r>
      <w:r>
        <w:rPr>
          <w:b/>
          <w:bCs/>
          <w:color w:val="A5A5A5"/>
          <w:lang w:val="en-GB"/>
        </w:rPr>
        <w:t xml:space="preserve">1 </w:t>
      </w:r>
      <w:r>
        <w:rPr>
          <w:color w:val="A5A5A5"/>
          <w:lang w:val="en-GB"/>
        </w:rPr>
        <w:t xml:space="preserve">/ </w:t>
      </w:r>
      <w:r>
        <w:rPr>
          <w:b/>
          <w:bCs/>
          <w:color w:val="A5A5A5"/>
          <w:lang w:val="en-GB"/>
        </w:rPr>
        <w:t>1</w:t>
      </w:r>
      <w:r>
        <w:rPr>
          <w:color w:val="A5A5A5"/>
          <w:lang w:val="en-GB"/>
        </w:rPr>
        <w:tab/>
        <w:t>https://riigihanked.riik.ee/rhr-web/#/procurement/ 1904812/general-info</w:t>
      </w:r>
    </w:p>
    <w:sectPr w:rsidR="00A32858">
      <w:type w:val="continuous"/>
      <w:pgSz w:w="16840" w:h="11910" w:orient="landscape"/>
      <w:pgMar w:top="11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58"/>
    <w:rsid w:val="00083677"/>
    <w:rsid w:val="00A32858"/>
    <w:rsid w:val="00BA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23573-4DFA-4407-834C-32FFF567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 w:eastAsia="et-EE" w:bidi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8"/>
      <w:ind w:left="9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Lagle Sokmann</dc:creator>
  <cp:lastModifiedBy>Lagle Sokmann</cp:lastModifiedBy>
  <cp:revision>2</cp:revision>
  <dcterms:created xsi:type="dcterms:W3CDTF">2020-07-09T07:12:00Z</dcterms:created>
  <dcterms:modified xsi:type="dcterms:W3CDTF">2020-07-09T07:12:00Z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Creator">
    <vt:lpwstr>BIRT Report Engine /opt/tomcat/tomcat8_instance1/webapps/rhr/WEB-INF/lib/org.eclipse.birt.runtime-4.4.2.jar.</vt:lpwstr>
  </property>
  <property fmtid="{D5CDD505-2E9C-101B-9397-08002B2CF9AE}" pid="4" name="LastSaved">
    <vt:filetime>2020-06-18T00:00:00Z</vt:filetime>
  </property>
</Properties>
</file>